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Łukowie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Siedlecki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Lubelska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2021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920</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5.284</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5.536</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668</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580</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2.787</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2.871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496</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864</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754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794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31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47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2.732</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2.808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1.463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1.476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183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223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1.269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403</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1.140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1.255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88</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87</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77</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14</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1067ED">
      <w:pPr>
        <w:spacing w:before="60" w:line="140" w:lineRule="exact"/>
        <w:rPr>
          <w:rFonts w:ascii="Arial" w:hAnsi="Arial" w:cs="Arial"/>
          <w:sz w:val="13"/>
          <w:szCs w:val="13"/>
        </w:rPr>
      </w:pPr>
      <w:r w:rsidRPr="00A64CE0">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3B40"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5.284</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864</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1.140</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460</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2.732</w:t>
            </w:r>
          </w:p>
        </w:tc>
      </w:tr>
      <w:tr w:rsidR="00FC02A6" w:rsidRPr="00B97598" w:rsidTr="007529F4">
        <w:trPr>
          <w:cantSplit/>
          <w:trHeight w:val="257"/>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1.876</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743</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1.133</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26</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26</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3"/>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3"/>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18</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1238" w:type="dxa"/>
            <w:gridSpan w:val="4"/>
            <w:vMerge w:val="restart"/>
            <w:tcBorders>
              <w:left w:val="single" w:sz="4" w:space="0" w:color="auto"/>
              <w:right w:val="single" w:sz="4" w:space="0" w:color="auto"/>
            </w:tcBorders>
            <w:vAlign w:val="center"/>
          </w:tcPr>
          <w:p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r>
      <w:tr w:rsidR="00FC02A6" w:rsidRPr="00B97598"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3.263</w:t>
            </w:r>
          </w:p>
        </w:tc>
        <w:tc>
          <w:tcPr>
            <w:tcW w:w="989" w:type="dxa"/>
            <w:tcBorders>
              <w:left w:val="single" w:sz="4" w:space="0" w:color="auto"/>
              <w:bottom w:val="single" w:sz="18"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443</w:t>
            </w:r>
          </w:p>
        </w:tc>
        <w:tc>
          <w:tcPr>
            <w:tcW w:w="990" w:type="dxa"/>
            <w:tcBorders>
              <w:left w:val="single" w:sz="4" w:space="0" w:color="auto"/>
              <w:bottom w:val="single" w:sz="1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2.732</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7"/>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7"/>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7"/>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6"/>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5.536</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931</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1.255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464</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2.808</w:t>
            </w: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6"/>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1.349</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303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1.046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95"/>
        </w:trPr>
        <w:tc>
          <w:tcPr>
            <w:tcW w:w="1127" w:type="dxa"/>
            <w:gridSpan w:val="2"/>
            <w:vMerge w:val="restart"/>
            <w:tcBorders>
              <w:left w:val="single" w:sz="4" w:space="0" w:color="auto"/>
              <w:right w:val="single" w:sz="4" w:space="0" w:color="auto"/>
            </w:tcBorders>
            <w:vAlign w:val="center"/>
          </w:tcPr>
          <w:p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r>
      <w:tr w:rsidR="00B428EC" w:rsidRPr="00B97598"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4.035</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508</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186</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455</w:t>
            </w:r>
          </w:p>
        </w:tc>
        <w:tc>
          <w:tcPr>
            <w:tcW w:w="922" w:type="dxa"/>
            <w:tcBorders>
              <w:top w:val="single" w:sz="4" w:space="0" w:color="auto"/>
              <w:left w:val="single" w:sz="4" w:space="0" w:color="auto"/>
              <w:bottom w:val="single" w:sz="18"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2.808</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171</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115</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179</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129</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40</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219</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449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152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130</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299</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28</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d.a)18</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10</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28</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18</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10</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26</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25</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2</w:t>
            </w: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10</w:t>
            </w: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14</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5</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9</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3</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373</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33</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1.046</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14</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14</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51</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703</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48</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746</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123</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169</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4</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4</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16</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16</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6.862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1.331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985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346</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280</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1.826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1.146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859</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3.060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1.383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5.531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1.784</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3.747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610</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3.137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680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541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510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3.060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3.051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76</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2.975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985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213</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699</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224</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5.536</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408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112</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74</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329</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89</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36</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40</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33</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33</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33</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8</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303</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464</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2.808</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1.476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1.332</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1.255</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56</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78</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5.128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1.661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3.467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583</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2.884</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471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97</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303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264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39</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464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210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254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210</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44</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2.808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2.799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71</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2.728</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1.476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42</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1.433</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1.332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1.324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29</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1.295</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1.176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971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205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205</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wyroku z uzasadnieniem, a jeżeli wniosek był dotknięty brakami - od dnia usunięcia tych braków)</w:t>
      </w:r>
    </w:p>
    <w:p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162</w:t>
            </w:r>
          </w:p>
        </w:tc>
        <w:tc>
          <w:tcPr>
            <w:tcW w:w="61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120</w:t>
            </w:r>
          </w:p>
        </w:tc>
        <w:tc>
          <w:tcPr>
            <w:tcW w:w="67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21</w:t>
            </w:r>
          </w:p>
        </w:tc>
        <w:tc>
          <w:tcPr>
            <w:tcW w:w="74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71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48</w:t>
            </w:r>
          </w:p>
        </w:tc>
        <w:tc>
          <w:tcPr>
            <w:tcW w:w="95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25</w:t>
            </w:r>
          </w:p>
        </w:tc>
        <w:tc>
          <w:tcPr>
            <w:tcW w:w="75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c>
          <w:tcPr>
            <w:tcW w:w="742" w:type="dxa"/>
            <w:tcBorders>
              <w:top w:val="single" w:sz="18"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155</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114</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20</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28</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28</w:t>
            </w: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6</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48</w:t>
            </w:r>
          </w:p>
        </w:tc>
        <w:tc>
          <w:tcPr>
            <w:tcW w:w="95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CB7410" w:rsidRDefault="00CB7410" w:rsidP="00CB7410">
      <w:pPr>
        <w:widowControl w:val="0"/>
        <w:rPr>
          <w:rFonts w:ascii="Arial" w:hAnsi="Arial" w:cs="Arial"/>
          <w:b/>
          <w:sz w:val="20"/>
          <w:szCs w:val="20"/>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668</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421</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82</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73</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42</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392</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195</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197</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57</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41</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331</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160</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56</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57</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54</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39</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762</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416</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189</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95</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650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435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98</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1.247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1.056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727</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401</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176</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89</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45</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641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428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309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1.224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1.033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34</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31</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926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398</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172</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100</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84</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34</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1.155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685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150</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71</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130</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63</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60</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69</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60</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4</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23</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2</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27</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10</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a)3</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b)8</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c)5</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187</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34</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136</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120</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88</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14</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36</w:t>
            </w:r>
          </w:p>
        </w:tc>
        <w:tc>
          <w:tcPr>
            <w:tcW w:w="1380" w:type="dxa"/>
            <w:shd w:val="clear" w:color="auto" w:fill="auto"/>
            <w:vAlign w:val="center"/>
          </w:tcPr>
          <w:p w:rsidR="00265F5B" w:rsidRDefault="00265F5B">
            <w:pPr>
              <w:jc w:val="right"/>
              <w:rPr>
                <w:rFonts w:ascii="Arial" w:hAnsi="Arial" w:cs="Arial"/>
                <w:color w:val="000000"/>
                <w:sz w:val="14"/>
                <w:szCs w:val="14"/>
              </w:rPr>
            </w:pP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33</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31</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16</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15</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159</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124</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28</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58</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85</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64</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41</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30</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36</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30</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238</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236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238</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189</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48</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29</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29</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34</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19</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1067ED"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rsidR="00921C39" w:rsidRPr="00921C39" w:rsidRDefault="00921C39" w:rsidP="00921C39">
      <w:pPr>
        <w:rPr>
          <w:rFonts w:ascii="Arial" w:hAnsi="Arial" w:cs="Arial"/>
          <w:sz w:val="20"/>
          <w:szCs w:val="20"/>
        </w:rPr>
      </w:pPr>
    </w:p>
    <w:p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21C39" w:rsidRPr="00921C39" w:rsidRDefault="00921C39" w:rsidP="00921C39">
      <w:pPr>
        <w:jc w:val="both"/>
        <w:rPr>
          <w:rFonts w:ascii="Arial" w:hAnsi="Arial" w:cs="Arial"/>
          <w:sz w:val="18"/>
          <w:szCs w:val="18"/>
        </w:rPr>
      </w:pP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lastRenderedPageBreak/>
        <w:t>Dział 1.1 k</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21C39" w:rsidRPr="00921C39" w:rsidRDefault="00921C39" w:rsidP="00921C39">
      <w:pPr>
        <w:jc w:val="both"/>
        <w:rPr>
          <w:rFonts w:ascii="Arial" w:hAnsi="Arial" w:cs="Arial"/>
          <w:b/>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rsidR="00921C39" w:rsidRPr="00921C39" w:rsidRDefault="00921C39" w:rsidP="00921C39">
      <w:pPr>
        <w:jc w:val="both"/>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21C39" w:rsidRPr="00921C39" w:rsidRDefault="00921C39" w:rsidP="00921C39">
      <w:pPr>
        <w:autoSpaceDE w:val="0"/>
        <w:autoSpaceDN w:val="0"/>
        <w:adjustRightInd w:val="0"/>
        <w:spacing w:before="240"/>
        <w:jc w:val="both"/>
        <w:rPr>
          <w:rFonts w:ascii="Arial" w:hAnsi="Arial" w:cs="Arial"/>
          <w:bCs/>
          <w:sz w:val="18"/>
          <w:szCs w:val="18"/>
        </w:rPr>
      </w:pPr>
      <w:bookmarkStart w:id="3" w:name="_Hlk38448275"/>
      <w:r w:rsidRPr="00921C39">
        <w:rPr>
          <w:rFonts w:ascii="Arial" w:hAnsi="Arial" w:cs="Arial"/>
          <w:bCs/>
          <w:sz w:val="18"/>
          <w:szCs w:val="18"/>
        </w:rPr>
        <w:t>Dział 1.2.1</w:t>
      </w:r>
    </w:p>
    <w:bookmarkEnd w:id="3"/>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21C39" w:rsidRPr="00921C39" w:rsidRDefault="00921C39" w:rsidP="00921C39">
      <w:pPr>
        <w:autoSpaceDE w:val="0"/>
        <w:autoSpaceDN w:val="0"/>
        <w:adjustRightInd w:val="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921C39">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921C39">
        <w:rPr>
          <w:rFonts w:ascii="Arial" w:hAnsi="Arial" w:cs="Arial"/>
          <w:sz w:val="18"/>
          <w:szCs w:val="18"/>
        </w:rPr>
        <w:t xml:space="preserve"> </w:t>
      </w:r>
    </w:p>
    <w:p w:rsidR="00921C39" w:rsidRPr="00921C39" w:rsidRDefault="00921C39" w:rsidP="00921C39">
      <w:pPr>
        <w:ind w:firstLine="708"/>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21C39" w:rsidRPr="00921C39" w:rsidRDefault="00921C39" w:rsidP="00921C39">
      <w:pPr>
        <w:autoSpaceDE w:val="0"/>
        <w:autoSpaceDN w:val="0"/>
        <w:adjustRightInd w:val="0"/>
        <w:spacing w:before="6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rsidR="00921C39" w:rsidRPr="00921C39" w:rsidRDefault="00921C39" w:rsidP="00921C39">
      <w:pPr>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postępowanie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921C39" w:rsidRPr="00921C39" w:rsidRDefault="00921C39" w:rsidP="00921C39">
      <w:pPr>
        <w:jc w:val="both"/>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21C39" w:rsidRPr="00921C39" w:rsidRDefault="00921C39" w:rsidP="00921C39">
      <w:pPr>
        <w:rPr>
          <w:rFonts w:ascii="Arial" w:hAnsi="Arial" w:cs="Arial"/>
          <w:bCs/>
          <w:sz w:val="18"/>
          <w:szCs w:val="18"/>
        </w:rPr>
      </w:pPr>
    </w:p>
    <w:p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21C39" w:rsidRPr="00921C39" w:rsidRDefault="00921C39" w:rsidP="00921C39">
      <w:pPr>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21C39" w:rsidRPr="00921C39" w:rsidRDefault="00921C39" w:rsidP="00921C39">
      <w:pPr>
        <w:pStyle w:val="Tekstpodstawowy3"/>
        <w:spacing w:line="240" w:lineRule="auto"/>
        <w:ind w:right="444"/>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21C39" w:rsidRPr="00921C39" w:rsidRDefault="00921C39" w:rsidP="00921C39">
      <w:pPr>
        <w:ind w:left="180"/>
        <w:rPr>
          <w:rFonts w:ascii="Arial" w:hAnsi="Arial" w:cs="Arial"/>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rsidR="00921C39" w:rsidRPr="00921C39" w:rsidRDefault="00921C39" w:rsidP="00921C39">
      <w:pPr>
        <w:ind w:left="180"/>
        <w:rPr>
          <w:rFonts w:ascii="Arial" w:hAnsi="Arial" w:cs="Arial"/>
          <w:b/>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lastRenderedPageBreak/>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xml:space="preserve">. Przy wyliczaniu obsady średniookresowej i odliczaniu okresów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4" w:name="_Hlk59187971"/>
      <w:bookmarkStart w:id="5" w:name="_Hlk59188529"/>
      <w:r w:rsidRPr="00921C39">
        <w:rPr>
          <w:rFonts w:ascii="Arial" w:hAnsi="Arial" w:cs="Arial"/>
          <w:bCs/>
          <w:sz w:val="18"/>
          <w:szCs w:val="18"/>
        </w:rPr>
        <w:t>to</w:t>
      </w:r>
      <w:bookmarkStart w:id="6" w:name="_Hlk59186137"/>
      <w:bookmarkStart w:id="7"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921C39">
        <w:rPr>
          <w:rFonts w:ascii="Arial" w:hAnsi="Arial" w:cs="Arial"/>
          <w:b/>
          <w:sz w:val="18"/>
          <w:szCs w:val="18"/>
        </w:rPr>
        <w:t>.</w:t>
      </w:r>
      <w:bookmarkEnd w:id="5"/>
      <w:bookmarkEnd w:id="7"/>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921C39" w:rsidRPr="00921C39" w:rsidRDefault="00921C39" w:rsidP="00921C39">
      <w:pPr>
        <w:autoSpaceDE w:val="0"/>
        <w:autoSpaceDN w:val="0"/>
        <w:adjustRightInd w:val="0"/>
        <w:spacing w:before="160"/>
        <w:ind w:left="720"/>
        <w:jc w:val="both"/>
        <w:rPr>
          <w:rFonts w:ascii="Arial" w:hAnsi="Arial" w:cs="Arial"/>
          <w:bCs/>
          <w:sz w:val="18"/>
          <w:szCs w:val="18"/>
        </w:rPr>
      </w:pP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21C39" w:rsidRPr="00921C39" w:rsidRDefault="00921C39" w:rsidP="00921C39">
      <w:pPr>
        <w:rPr>
          <w:rFonts w:ascii="Arial" w:hAnsi="Arial" w:cs="Arial"/>
          <w:bCs/>
          <w:sz w:val="18"/>
          <w:szCs w:val="18"/>
        </w:rPr>
      </w:pPr>
      <w:bookmarkStart w:id="8" w:name="_Hlk58479734"/>
      <w:r w:rsidRPr="00921C39">
        <w:rPr>
          <w:rFonts w:ascii="Arial" w:hAnsi="Arial" w:cs="Arial"/>
          <w:bCs/>
          <w:sz w:val="18"/>
          <w:szCs w:val="18"/>
        </w:rPr>
        <w:t xml:space="preserve">Dział 9.1.a. </w:t>
      </w:r>
    </w:p>
    <w:p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rsidR="00921C39" w:rsidRPr="00921C39" w:rsidRDefault="00921C39" w:rsidP="00921C39">
      <w:pPr>
        <w:spacing w:line="220" w:lineRule="exact"/>
        <w:jc w:val="both"/>
        <w:outlineLvl w:val="0"/>
        <w:rPr>
          <w:rFonts w:ascii="Arial" w:hAnsi="Arial" w:cs="Arial"/>
          <w:sz w:val="18"/>
          <w:szCs w:val="18"/>
        </w:rPr>
      </w:pPr>
    </w:p>
    <w:p w:rsidR="00921C39" w:rsidRPr="00921C39" w:rsidRDefault="00921C39" w:rsidP="00921C39">
      <w:pPr>
        <w:spacing w:after="80" w:line="220" w:lineRule="exact"/>
        <w:outlineLvl w:val="0"/>
        <w:rPr>
          <w:rFonts w:ascii="Arial" w:hAnsi="Arial"/>
          <w:b/>
          <w:sz w:val="20"/>
          <w:szCs w:val="20"/>
        </w:rPr>
      </w:pPr>
    </w:p>
    <w:p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21C39" w:rsidRPr="00921C39" w:rsidRDefault="00921C39" w:rsidP="00921C39">
      <w:pPr>
        <w:ind w:left="720"/>
        <w:jc w:val="both"/>
        <w:rPr>
          <w:rFonts w:ascii="Arial" w:hAnsi="Arial" w:cs="Arial"/>
          <w:sz w:val="18"/>
          <w:szCs w:val="18"/>
        </w:rPr>
      </w:pPr>
    </w:p>
    <w:p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21C39" w:rsidRPr="00921C39" w:rsidRDefault="00921C39" w:rsidP="00921C39">
      <w:pPr>
        <w:ind w:left="360" w:hanging="360"/>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5D" w:rsidRDefault="00E8525D">
      <w:r>
        <w:separator/>
      </w:r>
    </w:p>
  </w:endnote>
  <w:endnote w:type="continuationSeparator" w:id="0">
    <w:p w:rsidR="00E8525D" w:rsidRDefault="00E8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Default="003073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A64CE0" w:rsidRPr="0011733D">
      <w:rPr>
        <w:rFonts w:ascii="Arial" w:hAnsi="Arial" w:cs="Arial"/>
        <w:b/>
        <w:bCs/>
        <w:sz w:val="16"/>
        <w:szCs w:val="16"/>
      </w:rPr>
      <w:fldChar w:fldCharType="begin"/>
    </w:r>
    <w:r w:rsidRPr="0011733D">
      <w:rPr>
        <w:rFonts w:ascii="Arial" w:hAnsi="Arial" w:cs="Arial"/>
        <w:b/>
        <w:bCs/>
        <w:sz w:val="16"/>
        <w:szCs w:val="16"/>
      </w:rPr>
      <w:instrText>PAGE</w:instrText>
    </w:r>
    <w:r w:rsidR="00A64CE0" w:rsidRPr="0011733D">
      <w:rPr>
        <w:rFonts w:ascii="Arial" w:hAnsi="Arial" w:cs="Arial"/>
        <w:b/>
        <w:bCs/>
        <w:sz w:val="16"/>
        <w:szCs w:val="16"/>
      </w:rPr>
      <w:fldChar w:fldCharType="separate"/>
    </w:r>
    <w:r w:rsidR="001067ED">
      <w:rPr>
        <w:rFonts w:ascii="Arial" w:hAnsi="Arial" w:cs="Arial"/>
        <w:b/>
        <w:bCs/>
        <w:noProof/>
        <w:sz w:val="16"/>
        <w:szCs w:val="16"/>
      </w:rPr>
      <w:t>1</w:t>
    </w:r>
    <w:r w:rsidR="00A64CE0" w:rsidRPr="0011733D">
      <w:rPr>
        <w:rFonts w:ascii="Arial" w:hAnsi="Arial" w:cs="Arial"/>
        <w:b/>
        <w:bCs/>
        <w:sz w:val="16"/>
        <w:szCs w:val="16"/>
      </w:rPr>
      <w:fldChar w:fldCharType="end"/>
    </w:r>
    <w:r w:rsidRPr="0011733D">
      <w:rPr>
        <w:rFonts w:ascii="Arial" w:hAnsi="Arial" w:cs="Arial"/>
        <w:sz w:val="16"/>
        <w:szCs w:val="16"/>
      </w:rPr>
      <w:t xml:space="preserve"> z </w:t>
    </w:r>
    <w:r w:rsidR="00A64CE0" w:rsidRPr="0011733D">
      <w:rPr>
        <w:rFonts w:ascii="Arial" w:hAnsi="Arial" w:cs="Arial"/>
        <w:b/>
        <w:bCs/>
        <w:sz w:val="16"/>
        <w:szCs w:val="16"/>
      </w:rPr>
      <w:fldChar w:fldCharType="begin"/>
    </w:r>
    <w:r w:rsidRPr="0011733D">
      <w:rPr>
        <w:rFonts w:ascii="Arial" w:hAnsi="Arial" w:cs="Arial"/>
        <w:b/>
        <w:bCs/>
        <w:sz w:val="16"/>
        <w:szCs w:val="16"/>
      </w:rPr>
      <w:instrText>NUMPAGES</w:instrText>
    </w:r>
    <w:r w:rsidR="00A64CE0" w:rsidRPr="0011733D">
      <w:rPr>
        <w:rFonts w:ascii="Arial" w:hAnsi="Arial" w:cs="Arial"/>
        <w:b/>
        <w:bCs/>
        <w:sz w:val="16"/>
        <w:szCs w:val="16"/>
      </w:rPr>
      <w:fldChar w:fldCharType="separate"/>
    </w:r>
    <w:r w:rsidR="001067ED">
      <w:rPr>
        <w:rFonts w:ascii="Arial" w:hAnsi="Arial" w:cs="Arial"/>
        <w:b/>
        <w:bCs/>
        <w:noProof/>
        <w:sz w:val="16"/>
        <w:szCs w:val="16"/>
      </w:rPr>
      <w:t>26</w:t>
    </w:r>
    <w:r w:rsidR="00A64CE0"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Default="003073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5D" w:rsidRDefault="00E8525D">
      <w:r>
        <w:separator/>
      </w:r>
    </w:p>
  </w:footnote>
  <w:footnote w:type="continuationSeparator" w:id="0">
    <w:p w:rsidR="00E8525D" w:rsidRDefault="00E8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Default="003073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03.03.2022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89" w:rsidRDefault="003073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067ED"/>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4CE0"/>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156F"/>
    <w:rsid w:val="00E81E29"/>
    <w:rsid w:val="00E8525D"/>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9F21E-67F0-4D43-BA0F-CF1D96A2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16027</Words>
  <Characters>96167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3</cp:revision>
  <cp:lastPrinted>2012-06-12T07:00:00Z</cp:lastPrinted>
  <dcterms:created xsi:type="dcterms:W3CDTF">2022-03-03T11:42:00Z</dcterms:created>
  <dcterms:modified xsi:type="dcterms:W3CDTF">2022-03-03T11:42:00Z</dcterms:modified>
</cp:coreProperties>
</file>